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ody1"/>
        <w:spacing w:lineRule="auto" w:line="276"/>
        <w:jc w:val="center"/>
        <w:rPr>
          <w:rFonts w:cs="Segoe UI" w:ascii="Segoe UI" w:hAnsi="Segoe UI"/>
          <w:b/>
          <w:sz w:val="28"/>
          <w:szCs w:val="28"/>
        </w:rPr>
      </w:pPr>
      <w:r>
        <w:rPr>
          <w:rFonts w:cs="Segoe UI" w:ascii="Segoe UI" w:hAnsi="Segoe UI"/>
          <w:b/>
          <w:sz w:val="28"/>
          <w:szCs w:val="28"/>
        </w:rPr>
        <w:t>Convocatoria 2015</w:t>
      </w:r>
    </w:p>
    <w:p>
      <w:pPr>
        <w:pStyle w:val="Body1"/>
        <w:spacing w:lineRule="auto" w:line="276"/>
        <w:jc w:val="center"/>
        <w:rPr>
          <w:rFonts w:cs="Segoe UI" w:ascii="Segoe UI" w:hAnsi="Segoe UI"/>
          <w:b/>
          <w:sz w:val="28"/>
          <w:szCs w:val="28"/>
        </w:rPr>
      </w:pPr>
      <w:bookmarkStart w:id="0" w:name="_GoBack"/>
      <w:bookmarkStart w:id="1" w:name="_GoBack"/>
      <w:bookmarkEnd w:id="1"/>
      <w:r>
        <w:rPr>
          <w:rFonts w:cs="Segoe UI" w:ascii="Segoe UI" w:hAnsi="Segoe UI"/>
          <w:b/>
          <w:sz w:val="28"/>
          <w:szCs w:val="28"/>
        </w:rPr>
      </w:r>
    </w:p>
    <w:p>
      <w:pPr>
        <w:pStyle w:val="Normal"/>
        <w:keepNext/>
        <w:spacing w:lineRule="auto" w:line="276"/>
        <w:jc w:val="center"/>
        <w:outlineLvl w:val="1"/>
        <w:rPr>
          <w:rFonts w:eastAsia="Arial Unicode MS" w:cs="Segoe UI" w:ascii="Segoe UI" w:hAnsi="Segoe UI"/>
          <w:b/>
          <w:color w:val="000000"/>
          <w:sz w:val="28"/>
          <w:szCs w:val="28"/>
          <w:u w:val="none" w:color="000000"/>
          <w:lang w:val="en-US"/>
        </w:rPr>
      </w:pPr>
      <w:r>
        <w:rPr>
          <w:rFonts w:eastAsia="Arial Unicode MS" w:cs="Segoe UI" w:ascii="Segoe UI" w:hAnsi="Segoe UI"/>
          <w:b/>
          <w:color w:val="000000"/>
          <w:sz w:val="28"/>
          <w:szCs w:val="28"/>
          <w:u w:val="none" w:color="000000"/>
          <w:lang w:val="en-US"/>
        </w:rPr>
        <w:t>VII PREMIO AEFA A LA CALIDAD E INNOVACION</w:t>
      </w:r>
    </w:p>
    <w:p>
      <w:pPr>
        <w:pStyle w:val="Body1"/>
        <w:spacing w:lineRule="auto" w:line="276"/>
        <w:jc w:val="center"/>
        <w:rPr>
          <w:rFonts w:cs="Segoe UI" w:ascii="Segoe UI" w:hAnsi="Segoe UI"/>
          <w:b/>
          <w:sz w:val="22"/>
          <w:szCs w:val="22"/>
        </w:rPr>
      </w:pPr>
      <w:r>
        <w:rPr>
          <w:rFonts w:cs="Segoe UI" w:ascii="Segoe UI" w:hAnsi="Segoe UI"/>
          <w:b/>
          <w:sz w:val="22"/>
          <w:szCs w:val="22"/>
        </w:rPr>
      </w:r>
    </w:p>
    <w:p>
      <w:pPr>
        <w:pStyle w:val="Normal"/>
        <w:spacing w:lineRule="auto" w:line="276"/>
        <w:jc w:val="both"/>
        <w:outlineLvl w:val="0"/>
        <w:rPr>
          <w:rFonts w:eastAsia="Arial Unicode MS" w:cs="Segoe UI" w:ascii="Segoe UI" w:hAnsi="Segoe UI"/>
          <w:color w:val="000000"/>
          <w:sz w:val="22"/>
          <w:szCs w:val="22"/>
          <w:u w:val="none" w:color="000000"/>
          <w:lang w:val="en-US"/>
        </w:rPr>
      </w:pPr>
      <w:r>
        <w:rPr>
          <w:rFonts w:eastAsia="Arial Unicode MS" w:cs="Segoe UI" w:ascii="Segoe UI" w:hAnsi="Segoe UI"/>
          <w:color w:val="000000"/>
          <w:sz w:val="22"/>
          <w:szCs w:val="22"/>
          <w:u w:val="none" w:color="000000"/>
          <w:lang w:val="en-US"/>
        </w:rPr>
        <w:t>La Asociación Española de Farmacéuticos Analistas (AEFA) con el objetivo de promover y desarrollar las actividades de investigación y difundir los conocimientos generados en las mismas, convoca la concesión de un único premio dotado económicamente con 3000 euros y la entrega de un diploma acreditativo a cada uno de los autores para el mejor trabajo de carácter científico sobre:</w:t>
      </w:r>
    </w:p>
    <w:p>
      <w:pPr>
        <w:pStyle w:val="Normal"/>
        <w:spacing w:lineRule="auto" w:line="360"/>
        <w:jc w:val="both"/>
        <w:outlineLvl w:val="0"/>
        <w:rPr>
          <w:rFonts w:eastAsia="Arial Unicode MS" w:cs="Segoe UI" w:ascii="Segoe UI" w:hAnsi="Segoe UI"/>
          <w:color w:val="000000"/>
          <w:sz w:val="22"/>
          <w:szCs w:val="22"/>
          <w:u w:val="none" w:color="000000"/>
          <w:lang w:val="en-US"/>
        </w:rPr>
      </w:pPr>
      <w:r>
        <w:rPr>
          <w:rFonts w:eastAsia="Arial Unicode MS" w:cs="Segoe UI" w:ascii="Segoe UI" w:hAnsi="Segoe UI"/>
          <w:color w:val="000000"/>
          <w:sz w:val="22"/>
          <w:szCs w:val="22"/>
          <w:u w:val="none" w:color="000000"/>
          <w:lang w:val="en-US"/>
        </w:rPr>
      </w:r>
    </w:p>
    <w:p>
      <w:pPr>
        <w:pStyle w:val="NormalWeb"/>
        <w:jc w:val="center"/>
        <w:rPr>
          <w:rStyle w:val="Strong"/>
          <w:rFonts w:cs="Segoe UI" w:ascii="Segoe UI" w:hAnsi="Segoe UI"/>
          <w:bCs/>
          <w:color w:val="000000"/>
          <w:sz w:val="28"/>
          <w:szCs w:val="28"/>
        </w:rPr>
      </w:pPr>
      <w:r>
        <w:rPr>
          <w:rStyle w:val="Strong"/>
          <w:rFonts w:cs="Segoe UI" w:ascii="Segoe UI" w:hAnsi="Segoe UI"/>
          <w:bCs/>
          <w:color w:val="000000"/>
          <w:sz w:val="28"/>
          <w:szCs w:val="28"/>
        </w:rPr>
        <w:t>"Desarrollo y/o evaluación de nuevos biomarcadores de interés para el laboratorio clínico"</w:t>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rPr>
      </w:pPr>
      <w:r>
        <w:rPr>
          <w:rFonts w:cs="Segoe UI" w:ascii="Segoe UI" w:hAnsi="Segoe UI"/>
          <w:b/>
          <w:sz w:val="22"/>
          <w:szCs w:val="22"/>
          <w:u w:val="single"/>
        </w:rPr>
        <w:t>Criterios de selección</w:t>
      </w:r>
    </w:p>
    <w:p>
      <w:pPr>
        <w:pStyle w:val="Body1"/>
        <w:spacing w:lineRule="auto" w:line="276"/>
        <w:jc w:val="both"/>
        <w:rPr>
          <w:rFonts w:cs="Segoe UI" w:ascii="Segoe UI" w:hAnsi="Segoe UI"/>
          <w:b/>
          <w:sz w:val="22"/>
          <w:szCs w:val="22"/>
        </w:rPr>
      </w:pPr>
      <w:r>
        <w:rPr>
          <w:rFonts w:cs="Segoe UI" w:ascii="Segoe UI" w:hAnsi="Segoe UI"/>
          <w:b/>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t>El Jurado tendrá en cuenta los siguientes criterios de selección:</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t>Generales:</w:t>
      </w:r>
    </w:p>
    <w:p>
      <w:pPr>
        <w:pStyle w:val="Body1"/>
        <w:jc w:val="both"/>
        <w:rPr>
          <w:rFonts w:cs="Segoe UI" w:ascii="Segoe UI" w:hAnsi="Segoe UI"/>
          <w:sz w:val="22"/>
          <w:szCs w:val="22"/>
        </w:rPr>
      </w:pPr>
      <w:r>
        <w:rPr>
          <w:rFonts w:cs="Segoe UI" w:ascii="Segoe UI" w:hAnsi="Segoe UI"/>
          <w:sz w:val="22"/>
          <w:szCs w:val="22"/>
        </w:rPr>
      </w:r>
    </w:p>
    <w:p>
      <w:pPr>
        <w:pStyle w:val="Body1"/>
        <w:numPr>
          <w:ilvl w:val="0"/>
          <w:numId w:val="8"/>
        </w:numPr>
        <w:jc w:val="both"/>
        <w:rPr>
          <w:rFonts w:cs="Segoe UI" w:ascii="Segoe UI" w:hAnsi="Segoe UI"/>
          <w:sz w:val="22"/>
          <w:szCs w:val="22"/>
        </w:rPr>
      </w:pPr>
      <w:r>
        <w:rPr>
          <w:rFonts w:cs="Segoe UI" w:ascii="Segoe UI" w:hAnsi="Segoe UI"/>
          <w:sz w:val="22"/>
          <w:szCs w:val="22"/>
        </w:rPr>
        <w:t>Los trabajos presentados deberán ser originales e innovadores.</w:t>
      </w:r>
    </w:p>
    <w:p>
      <w:pPr>
        <w:pStyle w:val="Body1"/>
        <w:ind w:left="720" w:right="0" w:hanging="0"/>
        <w:jc w:val="both"/>
        <w:rPr>
          <w:rFonts w:cs="Segoe UI" w:ascii="Segoe UI" w:hAnsi="Segoe UI"/>
          <w:sz w:val="22"/>
          <w:szCs w:val="22"/>
        </w:rPr>
      </w:pPr>
      <w:r>
        <w:rPr>
          <w:rFonts w:cs="Segoe UI" w:ascii="Segoe UI" w:hAnsi="Segoe UI"/>
          <w:sz w:val="22"/>
          <w:szCs w:val="22"/>
        </w:rPr>
      </w:r>
    </w:p>
    <w:p>
      <w:pPr>
        <w:pStyle w:val="Body1"/>
        <w:numPr>
          <w:ilvl w:val="0"/>
          <w:numId w:val="8"/>
        </w:numPr>
        <w:jc w:val="both"/>
        <w:rPr>
          <w:rFonts w:cs="Segoe UI" w:ascii="Segoe UI" w:hAnsi="Segoe UI"/>
          <w:sz w:val="22"/>
          <w:szCs w:val="22"/>
        </w:rPr>
      </w:pPr>
      <w:r>
        <w:rPr>
          <w:rFonts w:cs="Segoe UI" w:ascii="Segoe UI" w:hAnsi="Segoe UI"/>
          <w:sz w:val="22"/>
          <w:szCs w:val="22"/>
        </w:rPr>
        <w:t>El proyecto debe demostrar su viabilidad.</w:t>
      </w:r>
    </w:p>
    <w:p>
      <w:pPr>
        <w:pStyle w:val="ListParagraph"/>
        <w:rPr>
          <w:rFonts w:cs="Segoe UI" w:ascii="Segoe UI" w:hAnsi="Segoe UI"/>
          <w:sz w:val="22"/>
          <w:szCs w:val="22"/>
          <w:lang w:val="es-ES"/>
        </w:rPr>
      </w:pPr>
      <w:r>
        <w:rPr>
          <w:rFonts w:cs="Segoe UI" w:ascii="Segoe UI" w:hAnsi="Segoe UI"/>
          <w:sz w:val="22"/>
          <w:szCs w:val="22"/>
          <w:lang w:val="es-ES"/>
        </w:rPr>
      </w:r>
    </w:p>
    <w:p>
      <w:pPr>
        <w:pStyle w:val="Body1"/>
        <w:numPr>
          <w:ilvl w:val="0"/>
          <w:numId w:val="8"/>
        </w:numPr>
        <w:jc w:val="both"/>
        <w:rPr>
          <w:rFonts w:cs="Segoe UI" w:ascii="Segoe UI" w:hAnsi="Segoe UI"/>
          <w:sz w:val="22"/>
          <w:szCs w:val="22"/>
        </w:rPr>
      </w:pPr>
      <w:r>
        <w:rPr>
          <w:rFonts w:cs="Segoe UI" w:ascii="Segoe UI" w:hAnsi="Segoe UI"/>
          <w:sz w:val="22"/>
          <w:szCs w:val="22"/>
        </w:rPr>
        <w:t xml:space="preserve">Los trabajos presentados pueden haber sido publicados o estar aceptados para su próxima publicación en revistas indexadas durante los años 2014 y 2015. </w:t>
      </w:r>
    </w:p>
    <w:p>
      <w:pPr>
        <w:pStyle w:val="Body1"/>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t>Específicos:</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9"/>
        </w:numPr>
        <w:spacing w:lineRule="auto" w:line="276"/>
        <w:jc w:val="both"/>
        <w:rPr>
          <w:rFonts w:cs="Segoe UI" w:ascii="Segoe UI" w:hAnsi="Segoe UI"/>
          <w:sz w:val="22"/>
          <w:szCs w:val="22"/>
        </w:rPr>
      </w:pPr>
      <w:r>
        <w:rPr>
          <w:rFonts w:cs="Segoe UI" w:ascii="Segoe UI" w:hAnsi="Segoe UI"/>
          <w:sz w:val="22"/>
          <w:szCs w:val="22"/>
        </w:rPr>
        <w:t>Las áreas de interés sobre las que podrán versar los trabajos que se presenten deberán estar centradas en patologías que se aborden desde las especialidades médicas de Cardiología, Oncología/Hematología, Nefrología, Neurología, Digestivo, Neumología, Endocrinología, Reumatología, Pediatría y Psiquiatría.</w:t>
      </w:r>
    </w:p>
    <w:p>
      <w:pPr>
        <w:pStyle w:val="Body1"/>
        <w:spacing w:lineRule="auto" w:line="276"/>
        <w:ind w:left="720" w:right="0" w:hanging="0"/>
        <w:jc w:val="both"/>
        <w:rPr>
          <w:rFonts w:cs="Segoe UI" w:ascii="Segoe UI" w:hAnsi="Segoe UI"/>
          <w:sz w:val="22"/>
          <w:szCs w:val="22"/>
        </w:rPr>
      </w:pPr>
      <w:r>
        <w:rPr>
          <w:rFonts w:cs="Segoe UI" w:ascii="Segoe UI" w:hAnsi="Segoe UI"/>
          <w:sz w:val="22"/>
          <w:szCs w:val="22"/>
        </w:rPr>
      </w:r>
    </w:p>
    <w:p>
      <w:pPr>
        <w:pStyle w:val="Body1"/>
        <w:numPr>
          <w:ilvl w:val="0"/>
          <w:numId w:val="9"/>
        </w:numPr>
        <w:spacing w:lineRule="auto" w:line="276"/>
        <w:jc w:val="both"/>
        <w:rPr>
          <w:rFonts w:cs="Segoe UI" w:ascii="Segoe UI" w:hAnsi="Segoe UI"/>
          <w:sz w:val="22"/>
          <w:szCs w:val="22"/>
        </w:rPr>
      </w:pPr>
      <w:r>
        <w:rPr>
          <w:rFonts w:cs="Segoe UI" w:ascii="Segoe UI" w:hAnsi="Segoe UI"/>
          <w:sz w:val="22"/>
          <w:szCs w:val="22"/>
        </w:rPr>
        <w:t xml:space="preserve">Los proyectos  deberán contener algunos de los siguientes apartados: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Identificar y/o evaluar nuevos biomarcadores personalizados que mejoren el diagnóstico, seguimiento y pronóstico de la patología sobre la que se centre el proyecto.</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 xml:space="preserve">Valoración de si la concentración del biomarcador en estudio es diferente en personas afectadas por la enfermedad en comparación a aquellas que no lo están. </w:t>
      </w:r>
    </w:p>
    <w:p>
      <w:pPr>
        <w:pStyle w:val="Body1"/>
        <w:spacing w:lineRule="auto" w:line="276"/>
        <w:ind w:left="720" w:right="0" w:hanging="0"/>
        <w:jc w:val="both"/>
        <w:rPr>
          <w:rFonts w:cs="Segoe UI" w:ascii="Segoe UI" w:hAnsi="Segoe UI"/>
          <w:sz w:val="22"/>
          <w:szCs w:val="22"/>
        </w:rPr>
      </w:pPr>
      <w:r>
        <w:rPr>
          <w:rFonts w:cs="Segoe UI" w:ascii="Segoe UI" w:hAnsi="Segoe UI"/>
          <w:sz w:val="22"/>
          <w:szCs w:val="22"/>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Desarrollo de un cuerpo de evidencia a partir de estudios prospectivos y casos-control que permitan evaluar el nuevo biomarcador.</w:t>
      </w:r>
    </w:p>
    <w:p>
      <w:pPr>
        <w:pStyle w:val="Body1"/>
        <w:spacing w:lineRule="auto" w:line="276"/>
        <w:ind w:left="720" w:right="0" w:hanging="0"/>
        <w:jc w:val="both"/>
        <w:rPr>
          <w:rFonts w:cs="Segoe UI" w:ascii="Segoe UI" w:hAnsi="Segoe UI"/>
          <w:sz w:val="22"/>
          <w:szCs w:val="22"/>
        </w:rPr>
      </w:pPr>
      <w:r>
        <w:rPr>
          <w:rFonts w:cs="Segoe UI" w:ascii="Segoe UI" w:hAnsi="Segoe UI"/>
          <w:sz w:val="22"/>
          <w:szCs w:val="22"/>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Evaluación de si la medida del nuevo biomarcador mejora la capacidad de predecir el riesgo de una patología en relación a las herramientas existentes; es decir, si el nuevo marcador permite discriminar entre futuros casos y controles.</w:t>
      </w:r>
    </w:p>
    <w:p>
      <w:pPr>
        <w:pStyle w:val="ListParagraph"/>
        <w:rPr>
          <w:rFonts w:cs="Segoe UI" w:ascii="Segoe UI" w:hAnsi="Segoe UI"/>
          <w:sz w:val="22"/>
          <w:szCs w:val="22"/>
          <w:lang w:val="es-ES"/>
        </w:rPr>
      </w:pPr>
      <w:r>
        <w:rPr>
          <w:rFonts w:cs="Segoe UI" w:ascii="Segoe UI" w:hAnsi="Segoe UI"/>
          <w:sz w:val="22"/>
          <w:szCs w:val="22"/>
          <w:lang w:val="es-ES"/>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Evaluación de si la medida del nuevo biomarcador tiene alguna repercusión en la selección y/o en el cambio de un tratamiento.</w:t>
      </w:r>
    </w:p>
    <w:p>
      <w:pPr>
        <w:pStyle w:val="ListParagraph"/>
        <w:rPr>
          <w:rFonts w:cs="Segoe UI" w:ascii="Segoe UI" w:hAnsi="Segoe UI"/>
          <w:sz w:val="22"/>
          <w:szCs w:val="22"/>
          <w:lang w:val="es-ES"/>
        </w:rPr>
      </w:pPr>
      <w:r>
        <w:rPr>
          <w:rFonts w:cs="Segoe UI" w:ascii="Segoe UI" w:hAnsi="Segoe UI"/>
          <w:sz w:val="22"/>
          <w:szCs w:val="22"/>
          <w:lang w:val="es-ES"/>
        </w:rPr>
      </w:r>
    </w:p>
    <w:p>
      <w:pPr>
        <w:pStyle w:val="Body1"/>
        <w:numPr>
          <w:ilvl w:val="0"/>
          <w:numId w:val="10"/>
        </w:numPr>
        <w:spacing w:lineRule="auto" w:line="276"/>
        <w:jc w:val="both"/>
        <w:rPr>
          <w:rFonts w:cs="Segoe UI" w:ascii="Segoe UI" w:hAnsi="Segoe UI"/>
          <w:sz w:val="22"/>
          <w:szCs w:val="22"/>
        </w:rPr>
      </w:pPr>
      <w:r>
        <w:rPr>
          <w:rFonts w:cs="Segoe UI" w:ascii="Segoe UI" w:hAnsi="Segoe UI"/>
          <w:sz w:val="22"/>
          <w:szCs w:val="22"/>
        </w:rPr>
        <w:t>Validación de los procedimientos de medida del nuevo o nuevos biomarcadores.</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lang w:val="en-US"/>
        </w:rPr>
      </w:pPr>
      <w:r>
        <w:rPr>
          <w:rFonts w:cs="Segoe UI" w:ascii="Segoe UI" w:hAnsi="Segoe UI"/>
          <w:b/>
          <w:sz w:val="22"/>
          <w:szCs w:val="22"/>
          <w:u w:val="single"/>
          <w:lang w:val="en-US"/>
        </w:rPr>
        <w:t xml:space="preserve">Bases del premio </w:t>
      </w:r>
    </w:p>
    <w:p>
      <w:pPr>
        <w:pStyle w:val="Body1"/>
        <w:spacing w:lineRule="auto" w:line="276"/>
        <w:jc w:val="both"/>
        <w:rPr>
          <w:rFonts w:cs="Segoe UI" w:ascii="Segoe UI" w:hAnsi="Segoe UI"/>
          <w:b/>
          <w:sz w:val="22"/>
          <w:szCs w:val="22"/>
          <w:lang w:val="en-US"/>
        </w:rPr>
      </w:pPr>
      <w:r>
        <w:rPr>
          <w:rFonts w:cs="Segoe UI" w:ascii="Segoe UI" w:hAnsi="Segoe UI"/>
          <w:b/>
          <w:sz w:val="22"/>
          <w:szCs w:val="22"/>
          <w:lang w:val="en-US"/>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Pueden optar al premio cualquier persona, de cualquier nacionalidad, relacionada  con las Ciencias del Laboratorio Clínico. No es preciso pertenecer a ninguna sociedad científica específica.</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 xml:space="preserve">Los autores que opten al premio, remitirán la siguiente documentación en los plazos previstos, a la Secretaría de AEFA, C/ Modesto Lafuente, 3 entreplanta C y D, 28010 Madrid, en un sobre que contenga en su interior: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1"/>
          <w:numId w:val="6"/>
        </w:numPr>
        <w:tabs>
          <w:tab w:val="left" w:pos="792" w:leader="none"/>
        </w:tabs>
        <w:spacing w:lineRule="auto" w:line="276"/>
        <w:ind w:left="792" w:right="0" w:hanging="360"/>
        <w:jc w:val="both"/>
        <w:rPr>
          <w:rFonts w:cs="Segoe UI" w:ascii="Segoe UI" w:hAnsi="Segoe UI"/>
          <w:sz w:val="22"/>
          <w:szCs w:val="22"/>
        </w:rPr>
      </w:pPr>
      <w:r>
        <w:rPr>
          <w:rFonts w:cs="Segoe UI" w:ascii="Segoe UI" w:hAnsi="Segoe UI"/>
          <w:sz w:val="22"/>
          <w:szCs w:val="22"/>
        </w:rPr>
        <w:t xml:space="preserve">Un sobre cerrado etiquetado con la letra </w:t>
      </w:r>
      <w:r>
        <w:rPr>
          <w:rFonts w:cs="Segoe UI" w:ascii="Segoe UI" w:hAnsi="Segoe UI"/>
          <w:b/>
          <w:sz w:val="22"/>
          <w:szCs w:val="22"/>
        </w:rPr>
        <w:t xml:space="preserve">A. </w:t>
      </w:r>
      <w:r>
        <w:rPr>
          <w:rFonts w:cs="Segoe UI" w:ascii="Segoe UI" w:hAnsi="Segoe UI"/>
          <w:sz w:val="22"/>
          <w:szCs w:val="22"/>
        </w:rPr>
        <w:t xml:space="preserve">Contendrá la hoja anexa debidamente cumplimentada. En la solapa del sobre </w:t>
      </w:r>
      <w:r>
        <w:rPr>
          <w:rFonts w:cs="Segoe UI" w:ascii="Segoe UI" w:hAnsi="Segoe UI"/>
          <w:b/>
          <w:sz w:val="22"/>
          <w:szCs w:val="22"/>
        </w:rPr>
        <w:t xml:space="preserve">A </w:t>
      </w:r>
      <w:r>
        <w:rPr>
          <w:rFonts w:cs="Segoe UI" w:ascii="Segoe UI" w:hAnsi="Segoe UI"/>
          <w:sz w:val="22"/>
          <w:szCs w:val="22"/>
        </w:rPr>
        <w:t>constará sólo el titulo del trabajo.</w:t>
      </w:r>
    </w:p>
    <w:p>
      <w:pPr>
        <w:pStyle w:val="Body1"/>
        <w:spacing w:lineRule="auto" w:line="276"/>
        <w:jc w:val="both"/>
        <w:rPr>
          <w:rFonts w:cs="Segoe UI" w:ascii="Segoe UI" w:hAnsi="Segoe UI"/>
          <w:sz w:val="22"/>
          <w:szCs w:val="22"/>
          <w:u w:val="single" w:color="000000"/>
        </w:rPr>
      </w:pPr>
      <w:r>
        <w:rPr>
          <w:rFonts w:cs="Segoe UI" w:ascii="Segoe UI" w:hAnsi="Segoe UI"/>
          <w:sz w:val="22"/>
          <w:szCs w:val="22"/>
          <w:u w:val="single" w:color="000000"/>
        </w:rPr>
      </w:r>
    </w:p>
    <w:p>
      <w:pPr>
        <w:pStyle w:val="Body1"/>
        <w:numPr>
          <w:ilvl w:val="1"/>
          <w:numId w:val="6"/>
        </w:numPr>
        <w:tabs>
          <w:tab w:val="left" w:pos="792" w:leader="none"/>
        </w:tabs>
        <w:spacing w:lineRule="auto" w:line="276"/>
        <w:ind w:left="792" w:right="0" w:hanging="360"/>
        <w:jc w:val="both"/>
        <w:rPr>
          <w:rFonts w:cs="Segoe UI" w:ascii="Segoe UI" w:hAnsi="Segoe UI"/>
          <w:sz w:val="22"/>
          <w:szCs w:val="22"/>
        </w:rPr>
      </w:pPr>
      <w:r>
        <w:rPr>
          <w:rFonts w:cs="Segoe UI" w:ascii="Segoe UI" w:hAnsi="Segoe UI"/>
          <w:sz w:val="22"/>
          <w:szCs w:val="22"/>
        </w:rPr>
        <w:t xml:space="preserve">Otro sobre cerrado etiquetado con la letra </w:t>
      </w:r>
      <w:r>
        <w:rPr>
          <w:rFonts w:cs="Segoe UI" w:ascii="Segoe UI" w:hAnsi="Segoe UI"/>
          <w:b/>
          <w:sz w:val="22"/>
          <w:szCs w:val="22"/>
        </w:rPr>
        <w:t>B</w:t>
      </w:r>
      <w:r>
        <w:rPr>
          <w:rFonts w:cs="Segoe UI" w:ascii="Segoe UI" w:hAnsi="Segoe UI"/>
          <w:sz w:val="22"/>
          <w:szCs w:val="22"/>
        </w:rPr>
        <w:t xml:space="preserve">. En el mismo se incluirá el trabajo en papel y en un soporte informático (CD, memoria de almacenamiento extraíble, etc.). En la solapa del sobre </w:t>
      </w:r>
      <w:r>
        <w:rPr>
          <w:rFonts w:cs="Segoe UI" w:ascii="Segoe UI" w:hAnsi="Segoe UI"/>
          <w:b/>
          <w:sz w:val="22"/>
          <w:szCs w:val="22"/>
        </w:rPr>
        <w:t>B</w:t>
      </w:r>
      <w:r>
        <w:rPr>
          <w:rFonts w:cs="Segoe UI" w:ascii="Segoe UI" w:hAnsi="Segoe UI"/>
          <w:sz w:val="22"/>
          <w:szCs w:val="22"/>
        </w:rPr>
        <w:t>, constará sólo el titulo del trabajo.</w:t>
      </w:r>
    </w:p>
    <w:p>
      <w:pPr>
        <w:pStyle w:val="Body1"/>
        <w:spacing w:lineRule="auto" w:line="276"/>
        <w:jc w:val="both"/>
        <w:rPr>
          <w:rFonts w:cs="Segoe UI" w:ascii="Segoe UI" w:hAnsi="Segoe UI"/>
          <w:sz w:val="22"/>
          <w:szCs w:val="22"/>
          <w:u w:val="single" w:color="000000"/>
        </w:rPr>
      </w:pPr>
      <w:r>
        <w:rPr>
          <w:rFonts w:cs="Segoe UI" w:ascii="Segoe UI" w:hAnsi="Segoe UI"/>
          <w:sz w:val="22"/>
          <w:szCs w:val="22"/>
          <w:u w:val="single" w:color="000000"/>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El trabajo se deberá presentar en español.</w:t>
      </w:r>
    </w:p>
    <w:p>
      <w:pPr>
        <w:pStyle w:val="Body1"/>
        <w:spacing w:lineRule="auto" w:line="276"/>
        <w:jc w:val="both"/>
        <w:rPr>
          <w:rFonts w:cs="Segoe UI" w:ascii="Segoe UI" w:hAnsi="Segoe UI"/>
          <w:sz w:val="22"/>
          <w:szCs w:val="22"/>
          <w:u w:val="single" w:color="000000"/>
        </w:rPr>
      </w:pPr>
      <w:r>
        <w:rPr>
          <w:rFonts w:cs="Segoe UI" w:ascii="Segoe UI" w:hAnsi="Segoe UI"/>
          <w:sz w:val="22"/>
          <w:szCs w:val="22"/>
          <w:u w:val="single" w:color="000000"/>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u w:val="single"/>
        </w:rPr>
        <w:t xml:space="preserve">El material contenido en el sobre </w:t>
      </w:r>
      <w:r>
        <w:rPr>
          <w:rFonts w:cs="Segoe UI" w:ascii="Segoe UI" w:hAnsi="Segoe UI"/>
          <w:b/>
          <w:sz w:val="22"/>
          <w:szCs w:val="22"/>
          <w:u w:val="single"/>
        </w:rPr>
        <w:t>B</w:t>
      </w:r>
      <w:r>
        <w:rPr>
          <w:rFonts w:cs="Segoe UI" w:ascii="Segoe UI" w:hAnsi="Segoe UI"/>
          <w:sz w:val="22"/>
          <w:szCs w:val="22"/>
          <w:u w:val="single"/>
        </w:rPr>
        <w:t xml:space="preserve"> deberá ser anónimo y </w:t>
      </w:r>
      <w:r>
        <w:rPr>
          <w:rFonts w:cs="Segoe UI" w:ascii="Segoe UI" w:hAnsi="Segoe UI"/>
          <w:b/>
          <w:sz w:val="22"/>
          <w:szCs w:val="22"/>
          <w:u w:val="single"/>
        </w:rPr>
        <w:t>no</w:t>
      </w:r>
      <w:r>
        <w:rPr>
          <w:rFonts w:cs="Segoe UI" w:ascii="Segoe UI" w:hAnsi="Segoe UI"/>
          <w:sz w:val="22"/>
          <w:szCs w:val="22"/>
          <w:u w:val="single"/>
        </w:rPr>
        <w:t xml:space="preserve"> podrá contener el  nombre del Centro o del Laboratorio en donde se ha realizado el proyecto</w:t>
      </w:r>
      <w:r>
        <w:rPr>
          <w:rFonts w:cs="Segoe UI" w:ascii="Segoe UI" w:hAnsi="Segoe UI"/>
          <w:sz w:val="22"/>
          <w:szCs w:val="22"/>
        </w:rPr>
        <w:t>. La violación de esta base comportará la exclusión definitiva del trabajo al premio.</w:t>
      </w:r>
    </w:p>
    <w:p>
      <w:pPr>
        <w:pStyle w:val="Body1"/>
        <w:spacing w:lineRule="auto" w:line="276"/>
        <w:jc w:val="both"/>
        <w:rPr>
          <w:rFonts w:cs="Segoe UI" w:ascii="Segoe UI" w:hAnsi="Segoe UI"/>
          <w:sz w:val="22"/>
          <w:szCs w:val="22"/>
          <w:u w:val="single" w:color="000000"/>
        </w:rPr>
      </w:pPr>
      <w:r>
        <w:rPr>
          <w:rFonts w:cs="Segoe UI" w:ascii="Segoe UI" w:hAnsi="Segoe UI"/>
          <w:sz w:val="22"/>
          <w:szCs w:val="22"/>
          <w:u w:val="single" w:color="000000"/>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 xml:space="preserve">Los trabajos que opten al premio AEFA deberán estructurarse siguiendo los siguientes apartados: Resumen, Introducción, Material y métodos, Resultados, Conclusiones y Bibliografía.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Los autores deberán rellenar y firmar una declaración de conflictos de interés.</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Se establece que la dotación económica se hará efectiva al primer autor debidamente autorizado por escrito,  por los restantes autores,  en el acto de entrega del Premio AEFA.</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La evaluación de los trabajos presentados se realizará por el Jurado nombrado por la Comisión Permanente de AEFA de acuerdo con los criterios de selección especificados previamente. Su composición se hará pública en el acto de entrega del premio. Los miembros del Jurado no podrán optar al premio convocado, ni ejercerán dependencia orgánica directa sobre los autores del trabajo.</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 xml:space="preserve">La dotación económica será de </w:t>
      </w:r>
      <w:r>
        <w:rPr>
          <w:rFonts w:cs="Segoe UI" w:ascii="Segoe UI" w:hAnsi="Segoe UI"/>
          <w:b/>
          <w:sz w:val="22"/>
          <w:szCs w:val="22"/>
        </w:rPr>
        <w:t>3000 euros</w:t>
      </w:r>
      <w:r>
        <w:rPr>
          <w:rFonts w:cs="Segoe UI" w:ascii="Segoe UI" w:hAnsi="Segoe UI"/>
          <w:sz w:val="22"/>
          <w:szCs w:val="22"/>
        </w:rPr>
        <w:t xml:space="preserve"> brutos, estando sujeta a la correspondiente retención a cuenta del Impuesto sobre la renta de las Personas Físicas, según la legislación de dicho impuesto vigente en su momento.</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 xml:space="preserve">La convocatoria podrá declararse desierta si a juicio del Jurado se estimase que los trabajos presentados no alcanzan los criterios establecidos.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El fallo del jurado es inapelable. El hecho de participar en esta convocatoria supone la aceptación de estas bases por parte de todos los participantes.</w:t>
      </w:r>
    </w:p>
    <w:p>
      <w:pPr>
        <w:pStyle w:val="Normal"/>
        <w:spacing w:lineRule="auto" w:line="276"/>
        <w:ind w:left="708" w:right="0" w:hanging="0"/>
        <w:outlineLvl w:val="0"/>
        <w:rPr>
          <w:rFonts w:eastAsia="Arial Unicode MS" w:cs="Segoe UI" w:ascii="Segoe UI" w:hAnsi="Segoe UI"/>
          <w:color w:val="000000"/>
          <w:sz w:val="22"/>
          <w:szCs w:val="22"/>
          <w:u w:val="none" w:color="000000"/>
          <w:lang w:val="en-US"/>
        </w:rPr>
      </w:pPr>
      <w:r>
        <w:rPr>
          <w:rFonts w:eastAsia="Arial Unicode MS" w:cs="Segoe UI" w:ascii="Segoe UI" w:hAnsi="Segoe UI"/>
          <w:color w:val="000000"/>
          <w:sz w:val="22"/>
          <w:szCs w:val="22"/>
          <w:u w:val="none" w:color="000000"/>
          <w:lang w:val="en-US"/>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En cualquier publicación o actividad científica que se genere del proyecto premiado, debe constar que ha sido premiado en el VII Premio AEFA a la Calidad y a la Innovación.</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numPr>
          <w:ilvl w:val="0"/>
          <w:numId w:val="4"/>
        </w:numPr>
        <w:spacing w:lineRule="auto" w:line="276"/>
        <w:ind w:left="0" w:right="0" w:hanging="360"/>
        <w:jc w:val="both"/>
        <w:rPr>
          <w:rFonts w:cs="Segoe UI" w:ascii="Segoe UI" w:hAnsi="Segoe UI"/>
          <w:sz w:val="22"/>
          <w:szCs w:val="22"/>
        </w:rPr>
      </w:pPr>
      <w:r>
        <w:rPr>
          <w:rFonts w:cs="Segoe UI" w:ascii="Segoe UI" w:hAnsi="Segoe UI"/>
          <w:sz w:val="22"/>
          <w:szCs w:val="22"/>
        </w:rPr>
        <w:t>La resolución de esta convocatoria se hará pública en el Acto de entrega del premio AEFA durante la celebración del IX Congreso Nacional del Laboratorio Clínico (Madrid, 7-9 de Octubre de 2015). En dicho acto se entregará un diploma acreditativo a cada uno de los autores del trabajo.</w:t>
      </w:r>
    </w:p>
    <w:p>
      <w:pPr>
        <w:pStyle w:val="Body1"/>
        <w:tabs>
          <w:tab w:val="left" w:pos="360" w:leader="none"/>
        </w:tabs>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rFonts w:cs="Segoe UI" w:ascii="Segoe UI" w:hAnsi="Segoe UI"/>
          <w:b/>
          <w:sz w:val="22"/>
          <w:szCs w:val="22"/>
          <w:u w:val="single" w:color="000000"/>
        </w:rPr>
      </w:pPr>
      <w:r>
        <w:rPr>
          <w:rFonts w:cs="Segoe UI" w:ascii="Segoe UI" w:hAnsi="Segoe UI"/>
          <w:b/>
          <w:sz w:val="22"/>
          <w:szCs w:val="22"/>
          <w:u w:val="single" w:color="000000"/>
        </w:rPr>
      </w:r>
    </w:p>
    <w:p>
      <w:pPr>
        <w:pStyle w:val="Body1"/>
        <w:spacing w:lineRule="auto" w:line="276"/>
        <w:jc w:val="both"/>
        <w:rPr/>
      </w:pPr>
      <w:r>
        <w:rPr/>
      </w:r>
    </w:p>
    <w:p>
      <w:pPr>
        <w:pStyle w:val="Body1"/>
        <w:pageBreakBefore/>
        <w:spacing w:lineRule="auto" w:line="276"/>
        <w:jc w:val="both"/>
        <w:rPr>
          <w:rFonts w:cs="Segoe UI" w:ascii="Segoe UI" w:hAnsi="Segoe UI"/>
          <w:b/>
          <w:sz w:val="22"/>
          <w:szCs w:val="22"/>
          <w:u w:val="single"/>
        </w:rPr>
      </w:pPr>
      <w:r>
        <w:rPr>
          <w:rFonts w:cs="Segoe UI" w:ascii="Segoe UI" w:hAnsi="Segoe UI"/>
          <w:b/>
          <w:sz w:val="22"/>
          <w:szCs w:val="22"/>
          <w:u w:val="single"/>
        </w:rPr>
        <w:t>Plazo de presentación de trabajos</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b/>
          <w:sz w:val="22"/>
          <w:szCs w:val="22"/>
        </w:rPr>
      </w:pPr>
      <w:r>
        <w:rPr>
          <w:rFonts w:cs="Segoe UI" w:ascii="Segoe UI" w:hAnsi="Segoe UI"/>
          <w:sz w:val="22"/>
          <w:szCs w:val="22"/>
        </w:rPr>
        <w:t xml:space="preserve">El plazo de envío de la documentación requerida finalizará el </w:t>
      </w:r>
      <w:r>
        <w:rPr>
          <w:rFonts w:cs="Segoe UI" w:ascii="Segoe UI" w:hAnsi="Segoe UI"/>
          <w:b/>
          <w:color w:val="00000A"/>
          <w:sz w:val="22"/>
          <w:szCs w:val="22"/>
        </w:rPr>
        <w:t xml:space="preserve">15 </w:t>
      </w:r>
      <w:r>
        <w:rPr>
          <w:rFonts w:cs="Segoe UI" w:ascii="Segoe UI" w:hAnsi="Segoe UI"/>
          <w:b/>
          <w:sz w:val="22"/>
          <w:szCs w:val="22"/>
        </w:rPr>
        <w:t xml:space="preserve">de Septiembre de 2015 a las 24:00 horas.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t xml:space="preserve">Todos los trabajos que lleguen con posterioridad a esta fecha serán desestimados, excepto los que hubieran sido depositados en cualquier oficina de Correos del territorio español antes de cerrarse el plazo. </w:t>
      </w:r>
    </w:p>
    <w:p>
      <w:pPr>
        <w:pStyle w:val="Body1"/>
        <w:spacing w:lineRule="auto" w:line="276"/>
        <w:jc w:val="both"/>
        <w:rPr>
          <w:rFonts w:cs="Segoe UI" w:ascii="Segoe UI" w:hAnsi="Segoe UI"/>
          <w:sz w:val="22"/>
          <w:szCs w:val="22"/>
        </w:rPr>
      </w:pPr>
      <w:r>
        <w:rPr>
          <w:rFonts w:cs="Segoe UI" w:ascii="Segoe UI" w:hAnsi="Segoe UI"/>
          <w:sz w:val="22"/>
          <w:szCs w:val="22"/>
        </w:rPr>
      </w:r>
    </w:p>
    <w:p>
      <w:pPr>
        <w:pStyle w:val="Body1"/>
        <w:spacing w:lineRule="auto" w:line="276"/>
        <w:jc w:val="both"/>
        <w:rPr>
          <w:rFonts w:cs="Segoe UI" w:ascii="Segoe UI" w:hAnsi="Segoe UI"/>
          <w:sz w:val="22"/>
          <w:szCs w:val="22"/>
        </w:rPr>
      </w:pPr>
      <w:r>
        <w:rPr>
          <w:rFonts w:cs="Segoe UI" w:ascii="Segoe UI" w:hAnsi="Segoe UI"/>
          <w:sz w:val="22"/>
          <w:szCs w:val="22"/>
        </w:rPr>
        <w:t xml:space="preserve">La documentación presentada pasará a formar parte del archivo del Premio AEFA a la Calidad e Innovación y no será devuelta en ningún caso. </w:t>
      </w:r>
    </w:p>
    <w:p>
      <w:pPr>
        <w:pStyle w:val="Body1"/>
        <w:spacing w:lineRule="auto" w:line="276"/>
        <w:jc w:val="both"/>
        <w:rPr/>
      </w:pPr>
      <w:r>
        <w:rPr/>
      </w:r>
    </w:p>
    <w:sectPr>
      <w:footerReference w:type="default" r:id="rId2"/>
      <w:type w:val="nextPage"/>
      <w:pgSz w:w="11906" w:h="16838"/>
      <w:pgMar w:left="1701" w:right="1701" w:header="0" w:top="1417" w:footer="708"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Tahoma">
    <w:charset w:val="01"/>
    <w:family w:val="swiss"/>
    <w:pitch w:val="default"/>
  </w:font>
  <w:font w:name="Arial">
    <w:charset w:val="01"/>
    <w:family w:val="swiss"/>
    <w:pitch w:val="default"/>
  </w:font>
  <w:font w:name="Courier New">
    <w:charset w:val="01"/>
    <w:family w:val="modern"/>
    <w:pitch w:val="fixed"/>
  </w:font>
  <w:font w:name="Segoe UI">
    <w:charset w:val="01"/>
    <w:family w:val="swiss"/>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left" w:pos="0" w:leader="none"/>
        <w:tab w:val="center" w:pos="1048" w:leader="none"/>
        <w:tab w:val="right" w:pos="1278" w:leader="none"/>
        <w:tab w:val="center" w:pos="4252" w:leader="none"/>
        <w:tab w:val="right" w:pos="8504" w:leader="none"/>
      </w:tabs>
      <w:ind w:left="0" w:right="360" w:hanging="0"/>
      <w:outlineLvl w:val="0"/>
      <w:rPr>
        <w:rFonts w:eastAsia="Arial Unicode MS" w:ascii="Arial" w:hAnsi="Arial"/>
        <w:color w:val="000000"/>
        <w:sz w:val="20"/>
        <w:u w:val="none" w:color="000000"/>
        <w:lang w:val="it-IT"/>
      </w:rPr>
    </w:pPr>
    <w:r>
      <w:rPr>
        <w:rFonts w:eastAsia="Arial Unicode MS" w:ascii="Arial" w:hAnsi="Arial"/>
        <w:color w:val="000000"/>
        <w:sz w:val="20"/>
        <w:u w:val="none" w:color="000000"/>
        <w:lang w:val="it-IT"/>
      </w:rPr>
      <w:t>VII PREMIO AEFA A LA CALIDAD E INNOVACION</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lvl>
    <w:lvl w:ilvl="1">
      <w:start w:val="1"/>
      <w:numFmt w:val="lowerLetter"/>
      <w:lvlText w:val="%2."/>
      <w:lvlJc w:val="left"/>
      <w:pPr>
        <w:tabs>
          <w:tab w:val="num" w:pos="360"/>
        </w:tabs>
        <w:ind w:left="360" w:hanging="-1080"/>
      </w:pPr>
      <w:rPr/>
    </w:lvl>
    <w:lvl w:ilvl="2">
      <w:start w:val="1"/>
      <w:numFmt w:val="lowerRoman"/>
      <w:lvlText w:val="%3."/>
      <w:lvlJc w:val="left"/>
      <w:pPr>
        <w:tabs>
          <w:tab w:val="num" w:pos="296"/>
        </w:tabs>
        <w:ind w:left="296" w:hanging="-1864"/>
      </w:pPr>
      <w:rPr/>
    </w:lvl>
    <w:lvl w:ilvl="3">
      <w:start w:val="1"/>
      <w:numFmt w:val="decimal"/>
      <w:lvlText w:val="%4."/>
      <w:lvlJc w:val="left"/>
      <w:pPr>
        <w:tabs>
          <w:tab w:val="num" w:pos="360"/>
        </w:tabs>
        <w:ind w:left="360" w:hanging="-2520"/>
      </w:pPr>
      <w:rPr/>
    </w:lvl>
    <w:lvl w:ilvl="4">
      <w:start w:val="1"/>
      <w:numFmt w:val="lowerLetter"/>
      <w:lvlText w:val="%5."/>
      <w:lvlJc w:val="left"/>
      <w:pPr>
        <w:tabs>
          <w:tab w:val="num" w:pos="360"/>
        </w:tabs>
        <w:ind w:left="360" w:hanging="-3240"/>
      </w:pPr>
      <w:rPr/>
    </w:lvl>
    <w:lvl w:ilvl="5">
      <w:start w:val="1"/>
      <w:numFmt w:val="lowerRoman"/>
      <w:lvlText w:val="%6."/>
      <w:lvlJc w:val="left"/>
      <w:pPr>
        <w:tabs>
          <w:tab w:val="num" w:pos="296"/>
        </w:tabs>
        <w:ind w:left="296" w:hanging="-4024"/>
      </w:pPr>
      <w:rPr/>
    </w:lvl>
    <w:lvl w:ilvl="6">
      <w:start w:val="1"/>
      <w:numFmt w:val="decimal"/>
      <w:lvlText w:val="%7."/>
      <w:lvlJc w:val="left"/>
      <w:pPr>
        <w:tabs>
          <w:tab w:val="num" w:pos="360"/>
        </w:tabs>
        <w:ind w:left="360" w:hanging="-4680"/>
      </w:pPr>
      <w:rPr/>
    </w:lvl>
    <w:lvl w:ilvl="7">
      <w:start w:val="1"/>
      <w:numFmt w:val="lowerLetter"/>
      <w:lvlText w:val="%8."/>
      <w:lvlJc w:val="left"/>
      <w:pPr>
        <w:tabs>
          <w:tab w:val="num" w:pos="360"/>
        </w:tabs>
        <w:ind w:left="360" w:hanging="-5400"/>
      </w:pPr>
      <w:rPr/>
    </w:lvl>
    <w:lvl w:ilvl="8">
      <w:start w:val="1"/>
      <w:numFmt w:val="lowerRoman"/>
      <w:lvlText w:val="%9."/>
      <w:lvlJc w:val="left"/>
      <w:pPr>
        <w:tabs>
          <w:tab w:val="num" w:pos="296"/>
        </w:tabs>
        <w:ind w:left="296" w:hanging="-6184"/>
      </w:pPr>
      <w:rPr/>
    </w:lvl>
  </w:abstractNum>
  <w:abstractNum w:abstractNumId="2">
    <w:lvl w:ilvl="0">
      <w:start w:val="1"/>
      <w:numFmt w:val="decimal"/>
      <w:lvlText w:val="%1."/>
      <w:lvlJc w:val="left"/>
      <w:pPr>
        <w:tabs>
          <w:tab w:val="num" w:pos="360"/>
        </w:tabs>
        <w:ind w:left="360" w:hanging="-360"/>
      </w:pPr>
      <w:rPr/>
    </w:lvl>
    <w:lvl w:ilvl="1">
      <w:start w:val="1"/>
      <w:numFmt w:val="lowerLetter"/>
      <w:lvlText w:val="%2."/>
      <w:lvlJc w:val="left"/>
      <w:pPr>
        <w:tabs>
          <w:tab w:val="num" w:pos="360"/>
        </w:tabs>
        <w:ind w:left="360" w:hanging="-1080"/>
      </w:pPr>
      <w:rPr/>
    </w:lvl>
    <w:lvl w:ilvl="2">
      <w:start w:val="1"/>
      <w:numFmt w:val="lowerRoman"/>
      <w:lvlText w:val="%3."/>
      <w:lvlJc w:val="left"/>
      <w:pPr>
        <w:tabs>
          <w:tab w:val="num" w:pos="296"/>
        </w:tabs>
        <w:ind w:left="296" w:hanging="-1864"/>
      </w:pPr>
      <w:rPr/>
    </w:lvl>
    <w:lvl w:ilvl="3">
      <w:start w:val="1"/>
      <w:numFmt w:val="decimal"/>
      <w:lvlText w:val="%4."/>
      <w:lvlJc w:val="left"/>
      <w:pPr>
        <w:tabs>
          <w:tab w:val="num" w:pos="360"/>
        </w:tabs>
        <w:ind w:left="360" w:hanging="-2520"/>
      </w:pPr>
      <w:rPr/>
    </w:lvl>
    <w:lvl w:ilvl="4">
      <w:start w:val="1"/>
      <w:numFmt w:val="lowerLetter"/>
      <w:lvlText w:val="%5."/>
      <w:lvlJc w:val="left"/>
      <w:pPr>
        <w:tabs>
          <w:tab w:val="num" w:pos="360"/>
        </w:tabs>
        <w:ind w:left="360" w:hanging="-3240"/>
      </w:pPr>
      <w:rPr/>
    </w:lvl>
    <w:lvl w:ilvl="5">
      <w:start w:val="1"/>
      <w:numFmt w:val="lowerRoman"/>
      <w:lvlText w:val="%6."/>
      <w:lvlJc w:val="left"/>
      <w:pPr>
        <w:tabs>
          <w:tab w:val="num" w:pos="296"/>
        </w:tabs>
        <w:ind w:left="296" w:hanging="-4024"/>
      </w:pPr>
      <w:rPr/>
    </w:lvl>
    <w:lvl w:ilvl="6">
      <w:start w:val="1"/>
      <w:numFmt w:val="decimal"/>
      <w:lvlText w:val="%7."/>
      <w:lvlJc w:val="left"/>
      <w:pPr>
        <w:tabs>
          <w:tab w:val="num" w:pos="360"/>
        </w:tabs>
        <w:ind w:left="360" w:hanging="-4680"/>
      </w:pPr>
      <w:rPr/>
    </w:lvl>
    <w:lvl w:ilvl="7">
      <w:start w:val="1"/>
      <w:numFmt w:val="lowerLetter"/>
      <w:lvlText w:val="%8."/>
      <w:lvlJc w:val="left"/>
      <w:pPr>
        <w:tabs>
          <w:tab w:val="num" w:pos="360"/>
        </w:tabs>
        <w:ind w:left="360" w:hanging="-5400"/>
      </w:pPr>
      <w:rPr/>
    </w:lvl>
    <w:lvl w:ilvl="8">
      <w:start w:val="1"/>
      <w:numFmt w:val="lowerRoman"/>
      <w:lvlText w:val="%9."/>
      <w:lvlJc w:val="left"/>
      <w:pPr>
        <w:tabs>
          <w:tab w:val="num" w:pos="296"/>
        </w:tabs>
        <w:ind w:left="296" w:hanging="-6184"/>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432"/>
        </w:tabs>
        <w:ind w:left="432" w:hanging="-360"/>
      </w:pPr>
      <w:rPr/>
    </w:lvl>
    <w:lvl w:ilvl="2">
      <w:start w:val="1"/>
      <w:numFmt w:val="decimal"/>
      <w:lvlText w:val="%3."/>
      <w:lvlJc w:val="left"/>
      <w:pPr>
        <w:tabs>
          <w:tab w:val="num" w:pos="504"/>
        </w:tabs>
        <w:ind w:left="504" w:hanging="-720"/>
      </w:pPr>
      <w:rPr/>
    </w:lvl>
    <w:lvl w:ilvl="3">
      <w:start w:val="1"/>
      <w:numFmt w:val="decimal"/>
      <w:lvlText w:val="%4."/>
      <w:lvlJc w:val="left"/>
      <w:pPr>
        <w:tabs>
          <w:tab w:val="num" w:pos="648"/>
        </w:tabs>
        <w:ind w:left="648" w:hanging="-1080"/>
      </w:pPr>
      <w:rPr/>
    </w:lvl>
    <w:lvl w:ilvl="4">
      <w:start w:val="1"/>
      <w:numFmt w:val="decimal"/>
      <w:lvlText w:val="%5."/>
      <w:lvlJc w:val="left"/>
      <w:pPr>
        <w:tabs>
          <w:tab w:val="num" w:pos="792"/>
        </w:tabs>
        <w:ind w:left="792" w:hanging="-1440"/>
      </w:pPr>
      <w:rPr/>
    </w:lvl>
    <w:lvl w:ilvl="5">
      <w:start w:val="1"/>
      <w:numFmt w:val="decimal"/>
      <w:lvlText w:val="%6."/>
      <w:lvlJc w:val="left"/>
      <w:pPr>
        <w:tabs>
          <w:tab w:val="num" w:pos="936"/>
        </w:tabs>
        <w:ind w:left="936" w:hanging="-1800"/>
      </w:pPr>
      <w:rPr/>
    </w:lvl>
    <w:lvl w:ilvl="6">
      <w:start w:val="1"/>
      <w:numFmt w:val="decimal"/>
      <w:lvlText w:val="%7."/>
      <w:lvlJc w:val="left"/>
      <w:pPr>
        <w:tabs>
          <w:tab w:val="num" w:pos="1080"/>
        </w:tabs>
        <w:ind w:left="1080" w:hanging="-2160"/>
      </w:pPr>
      <w:rPr/>
    </w:lvl>
    <w:lvl w:ilvl="7">
      <w:start w:val="1"/>
      <w:numFmt w:val="decimal"/>
      <w:lvlText w:val="%8."/>
      <w:lvlJc w:val="left"/>
      <w:pPr>
        <w:tabs>
          <w:tab w:val="num" w:pos="1224"/>
        </w:tabs>
        <w:ind w:left="1224" w:hanging="-2520"/>
      </w:pPr>
      <w:rPr/>
    </w:lvl>
    <w:lvl w:ilvl="8">
      <w:start w:val="1"/>
      <w:numFmt w:val="decimal"/>
      <w:lvlText w:val="%9."/>
      <w:lvlJc w:val="left"/>
      <w:pPr>
        <w:tabs>
          <w:tab w:val="num" w:pos="1440"/>
        </w:tabs>
        <w:ind w:left="1440" w:hanging="-2880"/>
      </w:pPr>
      <w:rPr/>
    </w:lvl>
  </w:abstractNum>
  <w:abstractNum w:abstractNumId="4">
    <w:lvl w:ilvl="0">
      <w:start w:val="1"/>
      <w:numFmt w:val="decimal"/>
      <w:lvlText w:val=""/>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432"/>
        </w:tabs>
        <w:ind w:left="432" w:hanging="-360"/>
      </w:pPr>
      <w:rPr/>
    </w:lvl>
    <w:lvl w:ilvl="2">
      <w:start w:val="1"/>
      <w:numFmt w:val="decimal"/>
      <w:lvlText w:val="%3."/>
      <w:lvlJc w:val="left"/>
      <w:pPr>
        <w:tabs>
          <w:tab w:val="num" w:pos="504"/>
        </w:tabs>
        <w:ind w:left="504" w:hanging="-720"/>
      </w:pPr>
      <w:rPr/>
    </w:lvl>
    <w:lvl w:ilvl="3">
      <w:start w:val="1"/>
      <w:numFmt w:val="decimal"/>
      <w:lvlText w:val="%4."/>
      <w:lvlJc w:val="left"/>
      <w:pPr>
        <w:tabs>
          <w:tab w:val="num" w:pos="648"/>
        </w:tabs>
        <w:ind w:left="648" w:hanging="-1080"/>
      </w:pPr>
      <w:rPr/>
    </w:lvl>
    <w:lvl w:ilvl="4">
      <w:start w:val="1"/>
      <w:numFmt w:val="decimal"/>
      <w:lvlText w:val="%5."/>
      <w:lvlJc w:val="left"/>
      <w:pPr>
        <w:tabs>
          <w:tab w:val="num" w:pos="792"/>
        </w:tabs>
        <w:ind w:left="792" w:hanging="-1440"/>
      </w:pPr>
      <w:rPr/>
    </w:lvl>
    <w:lvl w:ilvl="5">
      <w:start w:val="1"/>
      <w:numFmt w:val="decimal"/>
      <w:lvlText w:val="%6."/>
      <w:lvlJc w:val="left"/>
      <w:pPr>
        <w:tabs>
          <w:tab w:val="num" w:pos="936"/>
        </w:tabs>
        <w:ind w:left="936" w:hanging="-1800"/>
      </w:pPr>
      <w:rPr/>
    </w:lvl>
    <w:lvl w:ilvl="6">
      <w:start w:val="1"/>
      <w:numFmt w:val="decimal"/>
      <w:lvlText w:val="%7."/>
      <w:lvlJc w:val="left"/>
      <w:pPr>
        <w:tabs>
          <w:tab w:val="num" w:pos="1080"/>
        </w:tabs>
        <w:ind w:left="1080" w:hanging="-2160"/>
      </w:pPr>
      <w:rPr/>
    </w:lvl>
    <w:lvl w:ilvl="7">
      <w:start w:val="1"/>
      <w:numFmt w:val="decimal"/>
      <w:lvlText w:val="%8."/>
      <w:lvlJc w:val="left"/>
      <w:pPr>
        <w:tabs>
          <w:tab w:val="num" w:pos="1224"/>
        </w:tabs>
        <w:ind w:left="1224" w:hanging="-2520"/>
      </w:pPr>
      <w:rPr/>
    </w:lvl>
    <w:lvl w:ilvl="8">
      <w:start w:val="1"/>
      <w:numFmt w:val="decimal"/>
      <w:lvlText w:val="%9."/>
      <w:lvlJc w:val="left"/>
      <w:pPr>
        <w:tabs>
          <w:tab w:val="num" w:pos="1440"/>
        </w:tabs>
        <w:ind w:left="1440" w:hanging="-2880"/>
      </w:pPr>
      <w:rPr/>
    </w:lvl>
  </w:abstractNum>
  <w:abstractNum w:abstractNumId="6">
    <w:lvl w:ilvl="0">
      <w:start w:val="1"/>
      <w:numFmt w:val="decimal"/>
      <w:lvlText w:val=""/>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decimal"/>
      <w:lvlText w:val="%1."/>
      <w:lvlJc w:val="left"/>
      <w:pPr>
        <w:tabs>
          <w:tab w:val="num" w:pos="360"/>
        </w:tabs>
        <w:ind w:left="360" w:hanging="360"/>
      </w:pPr>
      <w:rPr/>
    </w:lvl>
    <w:lvl w:ilvl="1">
      <w:start w:val="1"/>
      <w:numFmt w:val="decimal"/>
      <w:lvlText w:val="%2."/>
      <w:lvlJc w:val="left"/>
      <w:pPr>
        <w:tabs>
          <w:tab w:val="num" w:pos="360"/>
        </w:tabs>
        <w:ind w:left="360" w:hanging="-360"/>
      </w:pPr>
      <w:rPr/>
    </w:lvl>
    <w:lvl w:ilvl="2">
      <w:start w:val="1"/>
      <w:numFmt w:val="decimal"/>
      <w:lvlText w:val="%3."/>
      <w:lvlJc w:val="left"/>
      <w:pPr>
        <w:tabs>
          <w:tab w:val="num" w:pos="360"/>
        </w:tabs>
        <w:ind w:left="360" w:hanging="-720"/>
      </w:pPr>
      <w:rPr/>
    </w:lvl>
    <w:lvl w:ilvl="3">
      <w:start w:val="1"/>
      <w:numFmt w:val="decimal"/>
      <w:lvlText w:val="%4."/>
      <w:lvlJc w:val="left"/>
      <w:pPr>
        <w:tabs>
          <w:tab w:val="num" w:pos="360"/>
        </w:tabs>
        <w:ind w:left="360" w:hanging="-1080"/>
      </w:pPr>
      <w:rPr/>
    </w:lvl>
    <w:lvl w:ilvl="4">
      <w:start w:val="1"/>
      <w:numFmt w:val="decimal"/>
      <w:lvlText w:val="%5."/>
      <w:lvlJc w:val="left"/>
      <w:pPr>
        <w:tabs>
          <w:tab w:val="num" w:pos="360"/>
        </w:tabs>
        <w:ind w:left="360" w:hanging="-1440"/>
      </w:pPr>
      <w:rPr/>
    </w:lvl>
    <w:lvl w:ilvl="5">
      <w:start w:val="1"/>
      <w:numFmt w:val="decimal"/>
      <w:lvlText w:val="%6."/>
      <w:lvlJc w:val="left"/>
      <w:pPr>
        <w:tabs>
          <w:tab w:val="num" w:pos="360"/>
        </w:tabs>
        <w:ind w:left="360" w:hanging="-1800"/>
      </w:pPr>
      <w:rPr/>
    </w:lvl>
    <w:lvl w:ilvl="6">
      <w:start w:val="1"/>
      <w:numFmt w:val="decimal"/>
      <w:lvlText w:val="%7."/>
      <w:lvlJc w:val="left"/>
      <w:pPr>
        <w:tabs>
          <w:tab w:val="num" w:pos="360"/>
        </w:tabs>
        <w:ind w:left="360" w:hanging="-2160"/>
      </w:pPr>
      <w:rPr/>
    </w:lvl>
    <w:lvl w:ilvl="7">
      <w:start w:val="1"/>
      <w:numFmt w:val="decimal"/>
      <w:lvlText w:val="%8."/>
      <w:lvlJc w:val="left"/>
      <w:pPr>
        <w:tabs>
          <w:tab w:val="num" w:pos="360"/>
        </w:tabs>
        <w:ind w:left="360" w:hanging="-2520"/>
      </w:pPr>
      <w:rPr/>
    </w:lvl>
    <w:lvl w:ilvl="8">
      <w:start w:val="1"/>
      <w:numFmt w:val="decimal"/>
      <w:lvlText w:val="%9."/>
      <w:lvlJc w:val="left"/>
      <w:pPr>
        <w:tabs>
          <w:tab w:val="num" w:pos="360"/>
        </w:tabs>
        <w:ind w:left="360" w:hanging="-28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s-ES" w:eastAsia="es-E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locked="1" w:name="index 1"/>
    <w:lsdException w:locked="1" w:name="index 2"/>
    <w:lsdException w:locked="1" w:name="index 3"/>
    <w:lsdException w:locked="1" w:name="index 4"/>
    <w:lsdException w:locked="1" w:name="index 5"/>
    <w:lsdException w:locked="1" w:name="index 6"/>
    <w:lsdException w:locked="1" w:name="index 7"/>
    <w:lsdException w:locked="1" w:name="index 8"/>
    <w:lsdException w:locked="1" w:name="index 9"/>
    <w:lsdException w:unhideWhenUsed="0" w:semiHidden="0" w:uiPriority="0" w:name="toc 1"/>
    <w:lsdException w:unhideWhenUsed="0" w:semiHidden="0" w:uiPriority="0" w:name="toc 2"/>
    <w:lsdException w:unhideWhenUsed="0" w:semiHidden="0" w:uiPriority="0" w:name="toc 3"/>
    <w:lsdException w:unhideWhenUsed="0" w:semiHidden="0" w:uiPriority="0" w:name="toc 4"/>
    <w:lsdException w:unhideWhenUsed="0" w:semiHidden="0" w:uiPriority="0" w:name="toc 5"/>
    <w:lsdException w:unhideWhenUsed="0" w:semiHidden="0" w:uiPriority="0" w:name="toc 6"/>
    <w:lsdException w:unhideWhenUsed="0" w:semiHidden="0" w:uiPriority="0" w:name="toc 7"/>
    <w:lsdException w:unhideWhenUsed="0" w:semiHidden="0" w:uiPriority="0" w:name="toc 8"/>
    <w:lsdException w:unhideWhenUsed="0" w:semiHidden="0" w:uiPriority="0" w:name="toc 9"/>
    <w:lsdException w:locked="1" w:name="Normal Indent"/>
    <w:lsdException w:locked="1" w:name="footnote text"/>
    <w:lsdException w:locked="1" w:name="annotation text"/>
    <w:lsdException w:locked="1" w:name="header"/>
    <w:lsdException w:locked="1" w:name="footer"/>
    <w:lsdException w:locked="1" w:name="index heading"/>
    <w:lsdException w:qFormat="1" w:uiPriority="0" w:name="caption"/>
    <w:lsdException w:locked="1" w:name="table of figures"/>
    <w:lsdException w:locked="1" w:name="envelope address"/>
    <w:lsdException w:locked="1" w:name="envelope return"/>
    <w:lsdException w:locked="1" w:name="footnote reference"/>
    <w:lsdException w:locked="1" w:name="annotation reference"/>
    <w:lsdException w:locked="1" w:name="line number"/>
    <w:lsdException w:locked="1" w:name="page number"/>
    <w:lsdException w:locked="1" w:name="endnote reference"/>
    <w:lsdException w:locked="1" w:name="endnote text"/>
    <w:lsdException w:locked="1" w:name="table of authorities"/>
    <w:lsdException w:locked="1" w:name="macro"/>
    <w:lsdException w:locked="1" w:name="toa heading"/>
    <w:lsdException w:locked="1" w:name="List"/>
    <w:lsdException w:locked="1" w:name="List Bullet"/>
    <w:lsdException w:locked="1" w:name="List Number"/>
    <w:lsdException w:locked="1" w:name="List 2"/>
    <w:lsdException w:locked="1" w:name="List 3"/>
    <w:lsdException w:locked="1" w:name="List 4"/>
    <w:lsdException w:locked="1" w:name="List 5"/>
    <w:lsdException w:locked="1" w:name="List Bullet 2"/>
    <w:lsdException w:locked="1" w:name="List Bullet 3"/>
    <w:lsdException w:locked="1" w:name="List Bullet 4"/>
    <w:lsdException w:locked="1" w:name="List Bullet 5"/>
    <w:lsdException w:locked="1" w:name="List Number 2"/>
    <w:lsdException w:locked="1" w:name="List Number 3"/>
    <w:lsdException w:locked="1" w:name="List Number 4"/>
    <w:lsdException w:locked="1" w:name="List Number 5"/>
    <w:lsdException w:qFormat="1" w:unhideWhenUsed="0" w:semiHidden="0" w:uiPriority="0" w:name="Title"/>
    <w:lsdException w:locked="1" w:name="Closing"/>
    <w:lsdException w:locked="1" w:name="Signature"/>
    <w:lsdException w:unhideWhenUsed="0" w:semiHidden="0" w:uiPriority="0" w:name="Default Paragraph Font"/>
    <w:lsdException w:locked="1" w:name="Body Text"/>
    <w:lsdException w:locked="1" w:name="Body Text Indent"/>
    <w:lsdException w:locked="1" w:name="List Continue"/>
    <w:lsdException w:locked="1" w:name="List Continue 2"/>
    <w:lsdException w:locked="1" w:name="List Continue 3"/>
    <w:lsdException w:locked="1" w:name="List Continue 4"/>
    <w:lsdException w:locked="1" w:name="List Continue 5"/>
    <w:lsdException w:locked="1" w:name="Message Header"/>
    <w:lsdException w:qFormat="1" w:unhideWhenUsed="0" w:semiHidden="0" w:uiPriority="0" w:name="Subtitle"/>
    <w:lsdException w:locked="1" w:name="Salutation"/>
    <w:lsdException w:locked="1" w:name="Date"/>
    <w:lsdException w:locked="1" w:name="Body Text First Indent"/>
    <w:lsdException w:locked="1" w:name="Body Text First Indent 2"/>
    <w:lsdException w:locked="1" w:name="Note Heading"/>
    <w:lsdException w:locked="1" w:name="Body Text 2"/>
    <w:lsdException w:locked="1" w:name="Body Text 3"/>
    <w:lsdException w:locked="1" w:name="Body Text Indent 2"/>
    <w:lsdException w:locked="1" w:name="Body Text Indent 3"/>
    <w:lsdException w:locked="1" w:name="Block Text"/>
    <w:lsdException w:locked="1" w:name="Hyperlink"/>
    <w:lsdException w:locked="1" w:name="FollowedHyperlink"/>
    <w:lsdException w:qFormat="1" w:unhideWhenUsed="0" w:semiHidden="0" w:uiPriority="0" w:name="Strong"/>
    <w:lsdException w:qFormat="1" w:unhideWhenUsed="0" w:semiHidden="0" w:uiPriority="0" w:name="Emphasis"/>
    <w:lsdException w:locked="1" w:name="Document Map"/>
    <w:lsdException w:locked="1" w:name="Plain Text"/>
    <w:lsdException w:locked="1" w:name="E-mail Signature"/>
    <w:lsdException w:locked="1" w:name="HTML Top of Form"/>
    <w:lsdException w:locked="1" w:name="HTML Bottom of Form"/>
    <w:lsdException w:unhideWhenUsed="0" w:semiHidden="0" w:uiPriority="0" w:name="Normal (Web)"/>
    <w:lsdException w:locked="1" w:name="HTML Acronym"/>
    <w:lsdException w:locked="1" w:name="HTML Address"/>
    <w:lsdException w:locked="1" w:name="HTML Cite"/>
    <w:lsdException w:locked="1" w:name="HTML Code"/>
    <w:lsdException w:locked="1" w:name="HTML Definition"/>
    <w:lsdException w:locked="1" w:name="HTML Keyboard"/>
    <w:lsdException w:locked="1" w:name="HTML Preformatted"/>
    <w:lsdException w:locked="1" w:name="HTML Sample"/>
    <w:lsdException w:locked="1" w:name="HTML Typewriter"/>
    <w:lsdException w:locked="1" w:name="HTML Variable"/>
    <w:lsdException w:locked="1" w:name="Normal Table"/>
    <w:lsdException w:locked="1" w:name="annotation subject"/>
    <w:lsdException w:locked="1" w:name="No List"/>
    <w:lsdException w:locked="1" w:name="Outline List 1"/>
    <w:lsdException w:locked="1" w:name="Outline List 2"/>
    <w:lsdException w:locked="1" w:name="Outline List 3"/>
    <w:lsdException w:locked="1" w:name="Table Simple 1"/>
    <w:lsdException w:locked="1" w:name="Table Simple 2"/>
    <w:lsdException w:locked="1" w:name="Table Simple 3"/>
    <w:lsdException w:locked="1" w:name="Table Classic 1"/>
    <w:lsdException w:locked="1" w:name="Table Classic 2"/>
    <w:lsdException w:locked="1" w:name="Table Classic 3"/>
    <w:lsdException w:locked="1" w:name="Table Classic 4"/>
    <w:lsdException w:locked="1" w:name="Table Colorful 1"/>
    <w:lsdException w:locked="1" w:name="Table Colorful 2"/>
    <w:lsdException w:locked="1" w:name="Table Colorful 3"/>
    <w:lsdException w:locked="1" w:name="Table Columns 1"/>
    <w:lsdException w:locked="1" w:name="Table Columns 2"/>
    <w:lsdException w:locked="1" w:name="Table Columns 3"/>
    <w:lsdException w:locked="1" w:name="Table Columns 4"/>
    <w:lsdException w:locked="1" w:name="Table Columns 5"/>
    <w:lsdException w:locked="1" w:name="Table Grid 1"/>
    <w:lsdException w:locked="1" w:name="Table Grid 2"/>
    <w:lsdException w:locked="1" w:name="Table Grid 3"/>
    <w:lsdException w:locked="1" w:name="Table Grid 4"/>
    <w:lsdException w:locked="1" w:name="Table Grid 5"/>
    <w:lsdException w:locked="1" w:name="Table Grid 6"/>
    <w:lsdException w:locked="1" w:name="Table Grid 7"/>
    <w:lsdException w:locked="1" w:name="Table Grid 8"/>
    <w:lsdException w:locked="1" w:name="Table List 1"/>
    <w:lsdException w:locked="1" w:name="Table List 2"/>
    <w:lsdException w:locked="1" w:name="Table List 3"/>
    <w:lsdException w:locked="1" w:name="Table List 4"/>
    <w:lsdException w:locked="1" w:name="Table List 5"/>
    <w:lsdException w:locked="1" w:name="Table List 6"/>
    <w:lsdException w:locked="1" w:name="Table List 7"/>
    <w:lsdException w:locked="1" w:name="Table List 8"/>
    <w:lsdException w:locked="1" w:name="Table 3D effects 1"/>
    <w:lsdException w:locked="1" w:name="Table 3D effects 2"/>
    <w:lsdException w:locked="1" w:name="Table 3D effects 3"/>
    <w:lsdException w:locked="1" w:name="Table Contemporary"/>
    <w:lsdException w:locked="1" w:name="Table Elegant"/>
    <w:lsdException w:locked="1" w:name="Table Professional"/>
    <w:lsdException w:locked="1" w:name="Table Subtle 1"/>
    <w:lsdException w:locked="1" w:name="Table Subtle 2"/>
    <w:lsdException w:locked="1" w:name="Table Web 1"/>
    <w:lsdException w:locked="1" w:name="Table Web 2"/>
    <w:lsdException w:locked="1" w:name="Table Web 3"/>
    <w:lsdException w:locked="1" w:name="Balloon Text"/>
    <w:lsdException w:unhideWhenUsed="0" w:semiHidden="0" w:uiPriority="0" w:name="Table Grid"/>
    <w:lsdException w:locked="1" w:name="Table Theme"/>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245d9"/>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99"/>
    <w:semiHidden/>
    <w:rPr/>
  </w:style>
  <w:style w:type="character" w:styleId="BalloonTextChar" w:customStyle="1">
    <w:name w:val="Balloon Text Char"/>
    <w:uiPriority w:val="99"/>
    <w:link w:val="BalloonText"/>
    <w:locked/>
    <w:rsid w:val="0050455b"/>
    <w:basedOn w:val="DefaultParagraphFont"/>
    <w:rPr>
      <w:rFonts w:ascii="Tahoma" w:hAnsi="Tahoma" w:cs="Times New Roman"/>
      <w:sz w:val="16"/>
      <w:lang w:val="en-US" w:eastAsia="en-US"/>
    </w:rPr>
  </w:style>
  <w:style w:type="character" w:styleId="Strong">
    <w:name w:val="Strong"/>
    <w:uiPriority w:val="99"/>
    <w:qFormat/>
    <w:locked/>
    <w:rsid w:val="00bb21f3"/>
    <w:basedOn w:val="DefaultParagraphFont"/>
    <w:rPr>
      <w:rFonts w:cs="Times New Roman"/>
      <w:b/>
    </w:rPr>
  </w:style>
  <w:style w:type="character" w:styleId="HeaderChar" w:customStyle="1">
    <w:name w:val="Header Char"/>
    <w:uiPriority w:val="99"/>
    <w:link w:val="Header"/>
    <w:locked/>
    <w:rsid w:val="00bb21f3"/>
    <w:basedOn w:val="DefaultParagraphFont"/>
    <w:rPr>
      <w:rFonts w:cs="Times New Roman"/>
      <w:sz w:val="24"/>
      <w:lang w:val="en-US" w:eastAsia="en-US"/>
    </w:rPr>
  </w:style>
  <w:style w:type="character" w:styleId="FooterChar" w:customStyle="1">
    <w:name w:val="Footer Char"/>
    <w:uiPriority w:val="99"/>
    <w:link w:val="Footer"/>
    <w:locked/>
    <w:rsid w:val="00bb21f3"/>
    <w:basedOn w:val="DefaultParagraphFont"/>
    <w:rPr>
      <w:rFonts w:cs="Times New Roman"/>
      <w:sz w:val="24"/>
      <w:lang w:val="en-US" w:eastAsia="en-US"/>
    </w:rPr>
  </w:style>
  <w:style w:type="character" w:styleId="ListLabel1">
    <w:name w:val="ListLabel 1"/>
    <w:rPr>
      <w:rFonts w:cs="Times New Roman"/>
    </w:rPr>
  </w:style>
  <w:style w:type="paragraph" w:styleId="Encabezado">
    <w:name w:val="Encabezado"/>
    <w:basedOn w:val="Normal"/>
    <w:next w:val="Cuerpodetexto"/>
    <w:pPr>
      <w:keepNext/>
      <w:spacing w:before="240" w:after="120"/>
    </w:pPr>
    <w:rPr>
      <w:rFonts w:ascii="Arial" w:hAnsi="Arial"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Courier New" w:hAnsi="Courier New" w:cs="Mangal"/>
    </w:rPr>
  </w:style>
  <w:style w:type="paragraph" w:styleId="Pie">
    <w:name w:val="Pie"/>
    <w:basedOn w:val="Normal"/>
    <w:pPr>
      <w:suppressLineNumbers/>
      <w:spacing w:before="120" w:after="120"/>
    </w:pPr>
    <w:rPr>
      <w:rFonts w:ascii="Arial" w:hAnsi="Arial" w:cs="Mangal"/>
      <w:i/>
      <w:iCs/>
      <w:sz w:val="24"/>
      <w:szCs w:val="24"/>
    </w:rPr>
  </w:style>
  <w:style w:type="paragraph" w:styleId="Ndice">
    <w:name w:val="Índice"/>
    <w:basedOn w:val="Normal"/>
    <w:pPr>
      <w:suppressLineNumbers/>
    </w:pPr>
    <w:rPr>
      <w:rFonts w:ascii="Arial" w:hAnsi="Arial" w:cs="Mangal"/>
    </w:rPr>
  </w:style>
  <w:style w:type="paragraph" w:styleId="Body1" w:customStyle="1">
    <w:name w:val="Body 1"/>
    <w:uiPriority w:val="99"/>
    <w:rsid w:val="009245d9"/>
    <w:pPr>
      <w:widowControl/>
      <w:suppressAutoHyphens w:val="true"/>
      <w:bidi w:val="0"/>
      <w:jc w:val="left"/>
      <w:outlineLvl w:val="0"/>
    </w:pPr>
    <w:rPr>
      <w:rFonts w:eastAsia="Arial Unicode MS" w:ascii="Times New Roman" w:hAnsi="Times New Roman" w:cs="Times New Roman"/>
      <w:color w:val="000000"/>
      <w:sz w:val="24"/>
      <w:szCs w:val="20"/>
      <w:u w:val="none" w:color="000000"/>
      <w:lang w:val="es-ES" w:eastAsia="es-ES" w:bidi="ar-SA"/>
    </w:rPr>
  </w:style>
  <w:style w:type="paragraph" w:styleId="ImportWordListStyleDefinition2025547263" w:customStyle="1">
    <w:name w:val="Import Word List Style Definition 2025547263"/>
    <w:uiPriority w:val="99"/>
    <w:rsid w:val="009245d9"/>
    <w:pPr>
      <w:widowControl/>
      <w:numPr>
        <w:ilvl w:val="0"/>
        <w:numId w:val="1"/>
      </w:numPr>
      <w:suppressAutoHyphens w:val="true"/>
      <w:bidi w:val="0"/>
      <w:jc w:val="left"/>
    </w:pPr>
    <w:rPr>
      <w:rFonts w:ascii="Times New Roman" w:hAnsi="Times New Roman" w:eastAsia="Times New Roman" w:cs="Times New Roman"/>
      <w:color w:val="auto"/>
      <w:sz w:val="20"/>
      <w:szCs w:val="20"/>
      <w:lang w:val="es-ES" w:eastAsia="es-ES" w:bidi="ar-SA"/>
    </w:rPr>
  </w:style>
  <w:style w:type="paragraph" w:styleId="ImportWordListStyleDefinition1588340179" w:customStyle="1">
    <w:name w:val="Import Word List Style Definition 1588340179"/>
    <w:uiPriority w:val="99"/>
    <w:rsid w:val="009245d9"/>
    <w:pPr>
      <w:widowControl/>
      <w:numPr>
        <w:ilvl w:val="0"/>
        <w:numId w:val="2"/>
      </w:numPr>
      <w:suppressAutoHyphens w:val="true"/>
      <w:bidi w:val="0"/>
      <w:jc w:val="left"/>
    </w:pPr>
    <w:rPr>
      <w:rFonts w:ascii="Times New Roman" w:hAnsi="Times New Roman" w:eastAsia="Times New Roman" w:cs="Times New Roman"/>
      <w:color w:val="auto"/>
      <w:sz w:val="20"/>
      <w:szCs w:val="20"/>
      <w:lang w:val="es-ES" w:eastAsia="es-ES" w:bidi="ar-SA"/>
    </w:rPr>
  </w:style>
  <w:style w:type="paragraph" w:styleId="ImportWordListStyleDefinition742140890" w:customStyle="1">
    <w:name w:val="Import Word List Style Definition 742140890"/>
    <w:uiPriority w:val="99"/>
    <w:rsid w:val="009245d9"/>
    <w:pPr>
      <w:widowControl/>
      <w:numPr>
        <w:ilvl w:val="0"/>
        <w:numId w:val="3"/>
      </w:numPr>
      <w:suppressAutoHyphens w:val="true"/>
      <w:bidi w:val="0"/>
      <w:jc w:val="left"/>
    </w:pPr>
    <w:rPr>
      <w:rFonts w:ascii="Times New Roman" w:hAnsi="Times New Roman" w:eastAsia="Times New Roman" w:cs="Times New Roman"/>
      <w:color w:val="auto"/>
      <w:sz w:val="20"/>
      <w:szCs w:val="20"/>
      <w:lang w:val="es-ES" w:eastAsia="es-ES" w:bidi="ar-SA"/>
    </w:rPr>
  </w:style>
  <w:style w:type="paragraph" w:styleId="List0" w:customStyle="1">
    <w:name w:val="List 0"/>
    <w:uiPriority w:val="99"/>
    <w:semiHidden/>
    <w:rsid w:val="009245d9"/>
    <w:basedOn w:val="ImportWordListStyleDefinition742140890"/>
    <w:pPr>
      <w:numPr>
        <w:ilvl w:val="0"/>
        <w:numId w:val="5"/>
      </w:numPr>
    </w:pPr>
    <w:rPr/>
  </w:style>
  <w:style w:type="paragraph" w:styleId="Numbered" w:customStyle="1">
    <w:name w:val="Numbered"/>
    <w:uiPriority w:val="99"/>
    <w:rsid w:val="009245d9"/>
    <w:pPr>
      <w:widowControl/>
      <w:numPr>
        <w:ilvl w:val="0"/>
        <w:numId w:val="7"/>
      </w:numPr>
      <w:suppressAutoHyphens w:val="true"/>
      <w:bidi w:val="0"/>
      <w:jc w:val="left"/>
    </w:pPr>
    <w:rPr>
      <w:rFonts w:ascii="Times New Roman" w:hAnsi="Times New Roman" w:eastAsia="Times New Roman" w:cs="Times New Roman"/>
      <w:color w:val="auto"/>
      <w:sz w:val="20"/>
      <w:szCs w:val="20"/>
      <w:lang w:val="es-ES" w:eastAsia="es-ES" w:bidi="ar-SA"/>
    </w:rPr>
  </w:style>
  <w:style w:type="paragraph" w:styleId="BalloonText">
    <w:name w:val="Balloon Text"/>
    <w:uiPriority w:val="99"/>
    <w:link w:val="BalloonTextChar"/>
    <w:locked/>
    <w:rsid w:val="0050455b"/>
    <w:basedOn w:val="Normal"/>
    <w:pPr/>
    <w:rPr>
      <w:rFonts w:ascii="Tahoma" w:hAnsi="Tahoma"/>
      <w:sz w:val="16"/>
      <w:szCs w:val="16"/>
    </w:rPr>
  </w:style>
  <w:style w:type="paragraph" w:styleId="NormalWeb">
    <w:name w:val="Normal (Web)"/>
    <w:uiPriority w:val="99"/>
    <w:locked/>
    <w:rsid w:val="00bb21f3"/>
    <w:basedOn w:val="Normal"/>
    <w:pPr/>
    <w:rPr>
      <w:lang w:val="es-ES" w:eastAsia="es-ES"/>
    </w:rPr>
  </w:style>
  <w:style w:type="paragraph" w:styleId="Encabezamiento">
    <w:name w:val="Encabezamiento"/>
    <w:uiPriority w:val="99"/>
    <w:link w:val="HeaderChar"/>
    <w:locked/>
    <w:rsid w:val="00bb21f3"/>
    <w:basedOn w:val="Normal"/>
    <w:pPr>
      <w:tabs>
        <w:tab w:val="center" w:pos="4252" w:leader="none"/>
        <w:tab w:val="right" w:pos="8504" w:leader="none"/>
      </w:tabs>
    </w:pPr>
    <w:rPr/>
  </w:style>
  <w:style w:type="paragraph" w:styleId="Piedepgina">
    <w:name w:val="Pie de página"/>
    <w:uiPriority w:val="99"/>
    <w:link w:val="FooterChar"/>
    <w:locked/>
    <w:rsid w:val="00bb21f3"/>
    <w:basedOn w:val="Normal"/>
    <w:pPr>
      <w:tabs>
        <w:tab w:val="center" w:pos="4252" w:leader="none"/>
        <w:tab w:val="right" w:pos="8504" w:leader="none"/>
      </w:tabs>
    </w:pPr>
    <w:rPr/>
  </w:style>
  <w:style w:type="paragraph" w:styleId="ListParagraph">
    <w:name w:val="List Paragraph"/>
    <w:uiPriority w:val="99"/>
    <w:qFormat/>
    <w:rsid w:val="00bb21f3"/>
    <w:basedOn w:val="Normal"/>
    <w:pPr>
      <w:ind w:left="708" w:right="0" w:hanging="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2015-05-21T08:39:00Z</dcterms:created>
  <dc:creator>rgoya</dc:creator>
  <dc:language>es-ES</dc:language>
  <cp:lastModifiedBy>marimar</cp:lastModifiedBy>
  <dcterms:modified xsi:type="dcterms:W3CDTF">2015-05-25T07:48:00Z</dcterms:modified>
  <cp:revision>4</cp:revision>
  <dc:title>Convocatoria 2014</dc:title>
</cp:coreProperties>
</file>